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3709" w14:textId="77777777" w:rsidR="00A07008" w:rsidRPr="00A07008" w:rsidRDefault="00A07008" w:rsidP="002578BD">
      <w:pPr>
        <w:tabs>
          <w:tab w:val="left" w:pos="4253"/>
        </w:tabs>
        <w:spacing w:line="360" w:lineRule="auto"/>
        <w:rPr>
          <w:b/>
          <w:bCs/>
          <w:sz w:val="22"/>
          <w:szCs w:val="22"/>
          <w:lang w:val="en-US"/>
        </w:rPr>
      </w:pPr>
      <w:r w:rsidRPr="00A07008">
        <w:rPr>
          <w:b/>
          <w:bCs/>
          <w:sz w:val="22"/>
          <w:szCs w:val="22"/>
          <w:lang w:val="en-US"/>
        </w:rPr>
        <w:t>AEMY A.E. 23/09/2025</w:t>
      </w:r>
    </w:p>
    <w:p w14:paraId="5E60F1A9" w14:textId="354D3BFA" w:rsidR="00B938A6" w:rsidRPr="00A07008" w:rsidRDefault="00A07008" w:rsidP="002578BD">
      <w:pPr>
        <w:tabs>
          <w:tab w:val="left" w:pos="4253"/>
        </w:tabs>
        <w:spacing w:line="360" w:lineRule="auto"/>
        <w:rPr>
          <w:b/>
          <w:bCs/>
          <w:sz w:val="22"/>
          <w:szCs w:val="22"/>
        </w:rPr>
      </w:pPr>
      <w:r w:rsidRPr="00A07008">
        <w:rPr>
          <w:b/>
          <w:bCs/>
          <w:sz w:val="22"/>
          <w:szCs w:val="22"/>
        </w:rPr>
        <w:t>Α.Π. : Γ.</w:t>
      </w:r>
      <w:r w:rsidRPr="00A07008">
        <w:rPr>
          <w:b/>
          <w:bCs/>
          <w:sz w:val="22"/>
          <w:szCs w:val="22"/>
          <w:lang w:val="en-US"/>
        </w:rPr>
        <w:t>N</w:t>
      </w:r>
      <w:r w:rsidRPr="00A07008">
        <w:rPr>
          <w:b/>
          <w:bCs/>
          <w:sz w:val="22"/>
          <w:szCs w:val="22"/>
        </w:rPr>
        <w:t>.Θ 6586</w:t>
      </w:r>
      <w:r w:rsidR="00473A62" w:rsidRPr="00A07008">
        <w:rPr>
          <w:b/>
          <w:bCs/>
          <w:sz w:val="22"/>
          <w:szCs w:val="22"/>
          <w:u w:val="single"/>
        </w:rPr>
        <w:t xml:space="preserve">      </w:t>
      </w:r>
      <w:r w:rsidR="007F1871" w:rsidRPr="00A07008">
        <w:rPr>
          <w:b/>
          <w:bCs/>
          <w:sz w:val="22"/>
          <w:szCs w:val="22"/>
        </w:rPr>
        <w:t xml:space="preserve">                             </w:t>
      </w:r>
    </w:p>
    <w:p w14:paraId="2C101580" w14:textId="77777777" w:rsidR="00703D15" w:rsidRDefault="00703D15" w:rsidP="00B938A6">
      <w:pPr>
        <w:jc w:val="right"/>
        <w:rPr>
          <w:b/>
          <w:bCs/>
          <w:sz w:val="22"/>
          <w:szCs w:val="22"/>
        </w:rPr>
      </w:pPr>
    </w:p>
    <w:p w14:paraId="1A35EB64" w14:textId="3B467170" w:rsidR="00326CCE" w:rsidRPr="005A17F9" w:rsidRDefault="00405989" w:rsidP="002578BD">
      <w:pPr>
        <w:tabs>
          <w:tab w:val="left" w:pos="4253"/>
        </w:tabs>
        <w:spacing w:line="360" w:lineRule="auto"/>
        <w:jc w:val="center"/>
        <w:rPr>
          <w:b/>
          <w:sz w:val="22"/>
          <w:szCs w:val="22"/>
          <w:u w:val="single"/>
        </w:rPr>
      </w:pPr>
      <w:r w:rsidRPr="005A17F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54469CF1"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A36EAF">
        <w:rPr>
          <w:b/>
          <w:bCs/>
          <w:sz w:val="22"/>
          <w:szCs w:val="22"/>
        </w:rPr>
        <w:t>ειδικότητας Γενικής Ιατρικής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106829">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0DF91BA8" w:rsidR="00C41F1E" w:rsidRPr="006A3A5E" w:rsidRDefault="00C41F1E" w:rsidP="006770F4">
      <w:pPr>
        <w:numPr>
          <w:ilvl w:val="0"/>
          <w:numId w:val="44"/>
        </w:numPr>
        <w:spacing w:line="360" w:lineRule="auto"/>
        <w:ind w:right="-23"/>
        <w:jc w:val="both"/>
        <w:rPr>
          <w:sz w:val="22"/>
          <w:szCs w:val="22"/>
        </w:rPr>
      </w:pPr>
      <w:r w:rsidRPr="006A3A5E">
        <w:rPr>
          <w:sz w:val="22"/>
          <w:szCs w:val="22"/>
        </w:rPr>
        <w:t xml:space="preserve">την έγκριση της </w:t>
      </w:r>
      <w:r w:rsidR="006A3A5E" w:rsidRPr="006A3A5E">
        <w:rPr>
          <w:sz w:val="22"/>
          <w:szCs w:val="22"/>
        </w:rPr>
        <w:t xml:space="preserve">Γ΄ Τροποποίησης Προϋπολογισμού 2025 με την  υπ’ αριθμ.22ης/02-06-2025 συνεδρίασης του Διοικητικού Συμβουλίου της Ανώνυμης </w:t>
      </w:r>
      <w:r w:rsidR="006A3A5E" w:rsidRPr="006A3A5E">
        <w:rPr>
          <w:sz w:val="22"/>
          <w:szCs w:val="22"/>
        </w:rPr>
        <w:lastRenderedPageBreak/>
        <w:t>Εταιρείας Μονάδων Υγείας (Α.Ε.Μ.Υ  Α.Ε) και  αρ.πρωτ.4740/ θέμα 8ο με ΑΔΑ : 96ΘΗΟΡΡ3-Α2Ο</w:t>
      </w:r>
    </w:p>
    <w:p w14:paraId="2F4B06FD" w14:textId="70BBEA0B" w:rsidR="00C41F1E" w:rsidRPr="000011F7" w:rsidRDefault="00C17059" w:rsidP="006770F4">
      <w:pPr>
        <w:numPr>
          <w:ilvl w:val="0"/>
          <w:numId w:val="44"/>
        </w:numPr>
        <w:spacing w:line="360" w:lineRule="auto"/>
        <w:ind w:right="-23"/>
        <w:jc w:val="both"/>
        <w:rPr>
          <w:sz w:val="22"/>
          <w:szCs w:val="22"/>
        </w:rPr>
      </w:pPr>
      <w:r w:rsidRPr="00C17059">
        <w:rPr>
          <w:sz w:val="22"/>
          <w:szCs w:val="22"/>
        </w:rPr>
        <w:t xml:space="preserve">στην υπ’ </w:t>
      </w:r>
      <w:proofErr w:type="spellStart"/>
      <w:r w:rsidRPr="00C17059">
        <w:rPr>
          <w:sz w:val="22"/>
          <w:szCs w:val="22"/>
        </w:rPr>
        <w:t>αριθμ</w:t>
      </w:r>
      <w:proofErr w:type="spellEnd"/>
      <w:r w:rsidRPr="00C17059">
        <w:rPr>
          <w:sz w:val="22"/>
          <w:szCs w:val="22"/>
        </w:rPr>
        <w:t xml:space="preserve">.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 καθώς και την  υπ’ </w:t>
      </w:r>
      <w:proofErr w:type="spellStart"/>
      <w:r w:rsidRPr="00C17059">
        <w:rPr>
          <w:sz w:val="22"/>
          <w:szCs w:val="22"/>
        </w:rPr>
        <w:t>αριθμ</w:t>
      </w:r>
      <w:proofErr w:type="spellEnd"/>
      <w:r w:rsidRPr="00C17059">
        <w:rPr>
          <w:sz w:val="22"/>
          <w:szCs w:val="22"/>
        </w:rPr>
        <w:t xml:space="preserve">. </w:t>
      </w:r>
      <w:proofErr w:type="spellStart"/>
      <w:r w:rsidRPr="00C17059">
        <w:rPr>
          <w:sz w:val="22"/>
          <w:szCs w:val="22"/>
        </w:rPr>
        <w:t>Πρωτ</w:t>
      </w:r>
      <w:proofErr w:type="spellEnd"/>
      <w:r w:rsidRPr="00C17059">
        <w:rPr>
          <w:sz w:val="22"/>
          <w:szCs w:val="22"/>
        </w:rPr>
        <w:t>. 3607633/29-04-2025 Ανακοίνωση στο Γ.Ε.ΜΗ</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53CD838C" w:rsidR="00C41F1E" w:rsidRPr="00827091" w:rsidRDefault="001C16A1" w:rsidP="006770F4">
      <w:pPr>
        <w:numPr>
          <w:ilvl w:val="0"/>
          <w:numId w:val="44"/>
        </w:numPr>
        <w:spacing w:line="360" w:lineRule="auto"/>
        <w:ind w:right="-23"/>
        <w:jc w:val="both"/>
        <w:rPr>
          <w:sz w:val="22"/>
          <w:szCs w:val="22"/>
        </w:rPr>
      </w:pPr>
      <w:r w:rsidRPr="00827091">
        <w:rPr>
          <w:sz w:val="22"/>
          <w:szCs w:val="22"/>
        </w:rPr>
        <w:t xml:space="preserve">Την απόφαση ΔΣ υπ’ </w:t>
      </w:r>
      <w:proofErr w:type="spellStart"/>
      <w:r w:rsidRPr="00827091">
        <w:rPr>
          <w:sz w:val="22"/>
          <w:szCs w:val="22"/>
        </w:rPr>
        <w:t>αρ</w:t>
      </w:r>
      <w:proofErr w:type="spellEnd"/>
      <w:r w:rsidRPr="00827091">
        <w:rPr>
          <w:sz w:val="22"/>
          <w:szCs w:val="22"/>
        </w:rPr>
        <w:t xml:space="preserve">. </w:t>
      </w:r>
      <w:r w:rsidR="00827091" w:rsidRPr="00827091">
        <w:rPr>
          <w:sz w:val="22"/>
          <w:szCs w:val="22"/>
        </w:rPr>
        <w:t>43</w:t>
      </w:r>
      <w:r w:rsidRPr="00827091">
        <w:rPr>
          <w:sz w:val="22"/>
          <w:szCs w:val="22"/>
        </w:rPr>
        <w:t>θέμα</w:t>
      </w:r>
      <w:r w:rsidR="00827091" w:rsidRPr="00827091">
        <w:rPr>
          <w:sz w:val="22"/>
          <w:szCs w:val="22"/>
        </w:rPr>
        <w:t>11</w:t>
      </w:r>
      <w:r w:rsidRPr="00827091">
        <w:rPr>
          <w:sz w:val="22"/>
          <w:szCs w:val="22"/>
        </w:rPr>
        <w:t>/</w:t>
      </w:r>
      <w:r w:rsidR="00827091" w:rsidRPr="00827091">
        <w:rPr>
          <w:sz w:val="22"/>
          <w:szCs w:val="22"/>
        </w:rPr>
        <w:t>14</w:t>
      </w:r>
      <w:r w:rsidRPr="00827091">
        <w:rPr>
          <w:sz w:val="22"/>
          <w:szCs w:val="22"/>
        </w:rPr>
        <w:t>-</w:t>
      </w:r>
      <w:r w:rsidR="00827091" w:rsidRPr="00827091">
        <w:rPr>
          <w:sz w:val="22"/>
          <w:szCs w:val="22"/>
        </w:rPr>
        <w:t>10</w:t>
      </w:r>
      <w:r w:rsidRPr="00827091">
        <w:rPr>
          <w:sz w:val="22"/>
          <w:szCs w:val="22"/>
        </w:rPr>
        <w:t xml:space="preserve">-2024 με θέμα «Εισήγηση για έκδοση Απόφασης Υπουργού για συνεργασία του Γ.Ν. Θήρας με </w:t>
      </w:r>
      <w:r w:rsidR="00827091" w:rsidRPr="00827091">
        <w:rPr>
          <w:sz w:val="22"/>
          <w:szCs w:val="22"/>
        </w:rPr>
        <w:t xml:space="preserve">13 </w:t>
      </w:r>
      <w:r w:rsidRPr="00827091">
        <w:rPr>
          <w:sz w:val="22"/>
          <w:szCs w:val="22"/>
        </w:rPr>
        <w:t xml:space="preserve">Ιατρούς, εξωτερικούς συνεργάτες με καθεστώς έκδοσης δελτίου απόδειξης παροχής υπηρεσιών» (ΑΔΑ: </w:t>
      </w:r>
      <w:r w:rsidR="00827091" w:rsidRPr="00827091">
        <w:rPr>
          <w:sz w:val="22"/>
          <w:szCs w:val="22"/>
        </w:rPr>
        <w:t>ΨΚΤΛΟΡΡ3-ΘΝΙ</w:t>
      </w:r>
      <w:r w:rsidRPr="00827091">
        <w:rPr>
          <w:sz w:val="22"/>
          <w:szCs w:val="22"/>
        </w:rPr>
        <w:t>)</w:t>
      </w:r>
    </w:p>
    <w:p w14:paraId="47F6A68B" w14:textId="2E2CC4A9" w:rsidR="00C41F1E" w:rsidRDefault="00C41F1E" w:rsidP="001C16A1">
      <w:pPr>
        <w:numPr>
          <w:ilvl w:val="0"/>
          <w:numId w:val="44"/>
        </w:numPr>
        <w:spacing w:line="360" w:lineRule="auto"/>
        <w:ind w:right="-23"/>
        <w:jc w:val="both"/>
        <w:rPr>
          <w:sz w:val="22"/>
          <w:szCs w:val="22"/>
        </w:rPr>
      </w:pPr>
      <w:r w:rsidRPr="00106829">
        <w:rPr>
          <w:sz w:val="22"/>
          <w:szCs w:val="22"/>
        </w:rPr>
        <w:t xml:space="preserve">Την </w:t>
      </w:r>
      <w:proofErr w:type="spellStart"/>
      <w:r w:rsidRPr="00106829">
        <w:rPr>
          <w:sz w:val="22"/>
          <w:szCs w:val="22"/>
        </w:rPr>
        <w:t>υπ.αρ</w:t>
      </w:r>
      <w:proofErr w:type="spellEnd"/>
      <w:r w:rsidRPr="00106829">
        <w:rPr>
          <w:sz w:val="22"/>
          <w:szCs w:val="22"/>
        </w:rPr>
        <w:t xml:space="preserve">. </w:t>
      </w:r>
      <w:proofErr w:type="spellStart"/>
      <w:r w:rsidRPr="00106829">
        <w:rPr>
          <w:sz w:val="22"/>
          <w:szCs w:val="22"/>
        </w:rPr>
        <w:t>πρωτ</w:t>
      </w:r>
      <w:proofErr w:type="spellEnd"/>
      <w:r w:rsidRPr="00106829">
        <w:rPr>
          <w:sz w:val="22"/>
          <w:szCs w:val="22"/>
        </w:rPr>
        <w:t>. Γ4β/</w:t>
      </w:r>
      <w:r w:rsidR="00981BF0">
        <w:rPr>
          <w:sz w:val="22"/>
          <w:szCs w:val="22"/>
        </w:rPr>
        <w:t>56031</w:t>
      </w:r>
      <w:r w:rsidRPr="00106829">
        <w:rPr>
          <w:sz w:val="22"/>
          <w:szCs w:val="22"/>
        </w:rPr>
        <w:t>/</w:t>
      </w:r>
      <w:r w:rsidR="00981BF0">
        <w:rPr>
          <w:sz w:val="22"/>
          <w:szCs w:val="22"/>
        </w:rPr>
        <w:t>12</w:t>
      </w:r>
      <w:r w:rsidRPr="00106829">
        <w:rPr>
          <w:sz w:val="22"/>
          <w:szCs w:val="22"/>
        </w:rPr>
        <w:t>-</w:t>
      </w:r>
      <w:r w:rsidR="00981BF0">
        <w:rPr>
          <w:sz w:val="22"/>
          <w:szCs w:val="22"/>
        </w:rPr>
        <w:t>11</w:t>
      </w:r>
      <w:r w:rsidRPr="00106829">
        <w:rPr>
          <w:sz w:val="22"/>
          <w:szCs w:val="22"/>
        </w:rPr>
        <w:t>-202</w:t>
      </w:r>
      <w:r w:rsidR="00C04351" w:rsidRPr="00106829">
        <w:rPr>
          <w:sz w:val="22"/>
          <w:szCs w:val="22"/>
        </w:rPr>
        <w:t>4</w:t>
      </w:r>
      <w:r w:rsidRPr="00106829">
        <w:rPr>
          <w:sz w:val="22"/>
          <w:szCs w:val="22"/>
        </w:rPr>
        <w:t xml:space="preserve"> απόφαση Υφυπουργού Υγείας με θέμα: </w:t>
      </w:r>
      <w:r w:rsidR="00981BF0" w:rsidRPr="00981BF0">
        <w:rPr>
          <w:sz w:val="22"/>
          <w:szCs w:val="22"/>
        </w:rPr>
        <w:t>«Έγκριση συνεργασίας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(1) ειδικότητας ΑΚΤΙΝΟΛΟΓΙΑΣ, έναν (1) ειδικότητας ΓΑΣΤΡΕΝΤΕΡΟΛΟΓΙΑΣ, δύο (2) ειδικότητας ΓΕΝΙΚΗΣ ΙΑΤΡΙΚΗΣ και έναν (1) ειδικότητας ΠΑΘΟΛΟΓΙΑΣ, με καθεστώς έκδοσης δελτίου απόδειξης παροχής υπηρεσιών»</w:t>
      </w:r>
      <w:r w:rsidR="00981BF0">
        <w:rPr>
          <w:sz w:val="22"/>
          <w:szCs w:val="22"/>
        </w:rPr>
        <w:t>.</w:t>
      </w:r>
    </w:p>
    <w:p w14:paraId="23DBC87B" w14:textId="0E89AF4A" w:rsidR="00827091" w:rsidRPr="00106829" w:rsidRDefault="00827091" w:rsidP="001C16A1">
      <w:pPr>
        <w:numPr>
          <w:ilvl w:val="0"/>
          <w:numId w:val="44"/>
        </w:numPr>
        <w:spacing w:line="360" w:lineRule="auto"/>
        <w:ind w:right="-23"/>
        <w:jc w:val="both"/>
        <w:rPr>
          <w:sz w:val="22"/>
          <w:szCs w:val="22"/>
        </w:rPr>
      </w:pPr>
      <w:r w:rsidRPr="00827091">
        <w:rPr>
          <w:sz w:val="22"/>
          <w:szCs w:val="22"/>
        </w:rPr>
        <w:t xml:space="preserve">Την απόφαση ΔΣ υπ’ </w:t>
      </w:r>
      <w:proofErr w:type="spellStart"/>
      <w:r w:rsidRPr="00827091">
        <w:rPr>
          <w:sz w:val="22"/>
          <w:szCs w:val="22"/>
        </w:rPr>
        <w:t>αρ</w:t>
      </w:r>
      <w:proofErr w:type="spellEnd"/>
      <w:r w:rsidRPr="00827091">
        <w:rPr>
          <w:sz w:val="22"/>
          <w:szCs w:val="22"/>
        </w:rPr>
        <w:t>. 4</w:t>
      </w:r>
      <w:r>
        <w:rPr>
          <w:sz w:val="22"/>
          <w:szCs w:val="22"/>
        </w:rPr>
        <w:t>6</w:t>
      </w:r>
      <w:r w:rsidRPr="00827091">
        <w:rPr>
          <w:sz w:val="22"/>
          <w:szCs w:val="22"/>
        </w:rPr>
        <w:t>θέμα1</w:t>
      </w:r>
      <w:r>
        <w:rPr>
          <w:sz w:val="22"/>
          <w:szCs w:val="22"/>
        </w:rPr>
        <w:t>2Β.</w:t>
      </w:r>
      <w:r w:rsidRPr="00827091">
        <w:rPr>
          <w:sz w:val="22"/>
          <w:szCs w:val="22"/>
        </w:rPr>
        <w:t>/</w:t>
      </w:r>
      <w:r>
        <w:rPr>
          <w:sz w:val="22"/>
          <w:szCs w:val="22"/>
        </w:rPr>
        <w:t>12</w:t>
      </w:r>
      <w:r w:rsidRPr="00827091">
        <w:rPr>
          <w:sz w:val="22"/>
          <w:szCs w:val="22"/>
        </w:rPr>
        <w:t>-</w:t>
      </w:r>
      <w:r>
        <w:rPr>
          <w:sz w:val="22"/>
          <w:szCs w:val="22"/>
        </w:rPr>
        <w:t>11</w:t>
      </w:r>
      <w:r w:rsidRPr="00827091">
        <w:rPr>
          <w:sz w:val="22"/>
          <w:szCs w:val="22"/>
        </w:rPr>
        <w:t>-2024 με θέμα «ΕΓΚΡΙΣΗ ΠΡΟΣΚΛΗΣΗΣ ΚΑΙ ΓΝΩΜΟΔΟΤΙΚΗΣ ΕΠΙΤΡΟΠΗΣ ΓΙΑ ΤΗ ΣΥΝΑΨΗ ΣΥΝΕΡΓΑΣΙΑΣ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(1) ειδικότητας ΑΚΤΙΝΟΛΟΓΙΑΣ, έναν (1) ειδικότητας ΓΑΣΤΡΕΝΤΕΡΟΛΟΓΙΑΣ, δύο (2) ειδικότητας ΓΕΝΙΚΗΣ ΙΑΤΡΙΚΗΣ και έναν (1) ειδικότητας ΠΑΘΟΛΟΓΙΑΣ, με καθεστώς έκδοσης δελτίου απόδειξης παροχής υπηρεσιών»</w:t>
      </w:r>
      <w:r>
        <w:rPr>
          <w:sz w:val="22"/>
          <w:szCs w:val="22"/>
        </w:rPr>
        <w:t xml:space="preserve"> (ΑΔΑ: 61ΕΘΟΡΡ3-7Ν9).</w:t>
      </w:r>
    </w:p>
    <w:bookmarkEnd w:id="2"/>
    <w:p w14:paraId="68B2CB13" w14:textId="1303BD3C" w:rsidR="002753E3" w:rsidRPr="001C16A1"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1C16A1">
        <w:rPr>
          <w:rFonts w:ascii="Tahoma" w:hAnsi="Tahoma" w:cs="Tahoma"/>
          <w:b/>
          <w:sz w:val="22"/>
          <w:szCs w:val="22"/>
          <w:u w:val="single"/>
          <w:lang w:val="el-GR"/>
        </w:rPr>
        <w:t>ΠΡΟΣΚΑΛ</w:t>
      </w:r>
      <w:r w:rsidR="006D7C14" w:rsidRPr="001C16A1">
        <w:rPr>
          <w:rFonts w:ascii="Tahoma" w:hAnsi="Tahoma" w:cs="Tahoma"/>
          <w:b/>
          <w:sz w:val="22"/>
          <w:szCs w:val="22"/>
          <w:u w:val="single"/>
          <w:lang w:val="el-GR"/>
        </w:rPr>
        <w:t>ΕΙ</w:t>
      </w:r>
    </w:p>
    <w:p w14:paraId="7D8347B0" w14:textId="6F9A6966"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Γ4β/</w:t>
      </w:r>
      <w:r w:rsidR="00981BF0">
        <w:rPr>
          <w:sz w:val="22"/>
          <w:szCs w:val="22"/>
        </w:rPr>
        <w:t>56031</w:t>
      </w:r>
      <w:r w:rsidR="002627B4" w:rsidRPr="002627B4">
        <w:rPr>
          <w:sz w:val="22"/>
          <w:szCs w:val="22"/>
        </w:rPr>
        <w:t>/</w:t>
      </w:r>
      <w:r w:rsidR="00981BF0">
        <w:rPr>
          <w:sz w:val="22"/>
          <w:szCs w:val="22"/>
        </w:rPr>
        <w:t>12</w:t>
      </w:r>
      <w:r w:rsidR="002627B4" w:rsidRPr="002627B4">
        <w:rPr>
          <w:sz w:val="22"/>
          <w:szCs w:val="22"/>
        </w:rPr>
        <w:t>-</w:t>
      </w:r>
      <w:r w:rsidR="00981BF0">
        <w:rPr>
          <w:sz w:val="22"/>
          <w:szCs w:val="22"/>
        </w:rPr>
        <w:t>11</w:t>
      </w:r>
      <w:r w:rsidR="002627B4" w:rsidRPr="002627B4">
        <w:rPr>
          <w:sz w:val="22"/>
          <w:szCs w:val="22"/>
        </w:rPr>
        <w:t>-202</w:t>
      </w:r>
      <w:r w:rsidR="00535690">
        <w:rPr>
          <w:sz w:val="22"/>
          <w:szCs w:val="22"/>
        </w:rPr>
        <w:t>4</w:t>
      </w:r>
      <w:r w:rsidR="002627B4" w:rsidRPr="002627B4">
        <w:rPr>
          <w:sz w:val="22"/>
          <w:szCs w:val="22"/>
        </w:rPr>
        <w:t xml:space="preserve"> 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981BF0" w:rsidRPr="00981BF0">
        <w:rPr>
          <w:sz w:val="22"/>
          <w:szCs w:val="22"/>
        </w:rPr>
        <w:t xml:space="preserve">«Έγκριση συνεργασίας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(1) ειδικότητας ΑΚΤΙΝΟΛΟΓΙΑΣ, έναν (1) ειδικότητας ΓΑΣΤΡΕΝΤΕΡΟΛΟΓΙΑΣ, δύο (2) </w:t>
      </w:r>
      <w:r w:rsidR="00981BF0" w:rsidRPr="00981BF0">
        <w:rPr>
          <w:sz w:val="22"/>
          <w:szCs w:val="22"/>
        </w:rPr>
        <w:lastRenderedPageBreak/>
        <w:t>ειδικότητας ΓΕΝΙΚΗΣ ΙΑΤΡΙΚΗΣ και έναν (1) ειδικότητας ΠΑΘΟΛΟΓΙΑΣ, με καθεστώς έκδοσης δελτίου απόδειξης παροχής υπηρεσιών»</w:t>
      </w:r>
      <w:r w:rsidR="00981BF0">
        <w:rPr>
          <w:sz w:val="22"/>
          <w:szCs w:val="22"/>
        </w:rPr>
        <w:t>.</w:t>
      </w:r>
    </w:p>
    <w:p w14:paraId="18C90832" w14:textId="77777777" w:rsidR="0029224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B42928" w:rsidRPr="004D2546" w14:paraId="000E55AE" w14:textId="77777777" w:rsidTr="00B77738">
        <w:tc>
          <w:tcPr>
            <w:tcW w:w="603" w:type="dxa"/>
            <w:tcBorders>
              <w:top w:val="single" w:sz="4" w:space="0" w:color="auto"/>
              <w:left w:val="single" w:sz="4" w:space="0" w:color="auto"/>
              <w:bottom w:val="single" w:sz="4" w:space="0" w:color="auto"/>
              <w:right w:val="single" w:sz="4" w:space="0" w:color="auto"/>
            </w:tcBorders>
            <w:hideMark/>
          </w:tcPr>
          <w:p w14:paraId="0AA02FF6"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E5C9A8D"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hideMark/>
          </w:tcPr>
          <w:p w14:paraId="01A1F72E"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hideMark/>
          </w:tcPr>
          <w:p w14:paraId="3D945F07"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106829" w:rsidRPr="004D2546" w14:paraId="70711B6A" w14:textId="77777777" w:rsidTr="00B77738">
        <w:tc>
          <w:tcPr>
            <w:tcW w:w="603" w:type="dxa"/>
            <w:tcBorders>
              <w:top w:val="single" w:sz="4" w:space="0" w:color="auto"/>
              <w:left w:val="single" w:sz="4" w:space="0" w:color="auto"/>
              <w:bottom w:val="single" w:sz="4" w:space="0" w:color="auto"/>
              <w:right w:val="single" w:sz="4" w:space="0" w:color="auto"/>
            </w:tcBorders>
          </w:tcPr>
          <w:p w14:paraId="12CA4D85" w14:textId="6CB9A8CB"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tcPr>
          <w:p w14:paraId="760C9FC6" w14:textId="25A85ACA" w:rsidR="00106829" w:rsidRDefault="00A36EAF"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ΓΕΝΙΚΗΣ ΙΑΤΡΙΚΗΣ</w:t>
            </w:r>
          </w:p>
        </w:tc>
        <w:tc>
          <w:tcPr>
            <w:tcW w:w="1051" w:type="dxa"/>
            <w:tcBorders>
              <w:top w:val="single" w:sz="4" w:space="0" w:color="auto"/>
              <w:left w:val="single" w:sz="4" w:space="0" w:color="auto"/>
              <w:bottom w:val="single" w:sz="4" w:space="0" w:color="auto"/>
              <w:right w:val="single" w:sz="4" w:space="0" w:color="auto"/>
            </w:tcBorders>
          </w:tcPr>
          <w:p w14:paraId="5D5A6DD2" w14:textId="1CCF82BD" w:rsidR="00106829" w:rsidRDefault="00106829"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5637" w:type="dxa"/>
            <w:tcBorders>
              <w:top w:val="single" w:sz="4" w:space="0" w:color="auto"/>
              <w:left w:val="single" w:sz="4" w:space="0" w:color="auto"/>
              <w:bottom w:val="single" w:sz="4" w:space="0" w:color="auto"/>
              <w:right w:val="single" w:sz="4" w:space="0" w:color="auto"/>
            </w:tcBorders>
          </w:tcPr>
          <w:p w14:paraId="52C72481" w14:textId="77777777" w:rsidR="00106829" w:rsidRPr="00292244" w:rsidRDefault="00106829" w:rsidP="00106829">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Η συνεργασία αφορά:</w:t>
            </w:r>
          </w:p>
          <w:p w14:paraId="7133EF52" w14:textId="12A680DE" w:rsidR="00106829" w:rsidRPr="004D2546" w:rsidRDefault="00106829" w:rsidP="00106829">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 xml:space="preserve">Συνολικό κόστος έργου για διάστημα </w:t>
            </w:r>
            <w:r w:rsidR="000C4748">
              <w:rPr>
                <w:rFonts w:ascii="Calibri" w:eastAsia="Calibri" w:hAnsi="Calibri" w:cs="Times New Roman"/>
                <w:b/>
                <w:bCs/>
                <w:lang w:eastAsia="en-US"/>
              </w:rPr>
              <w:t>έντεκα</w:t>
            </w:r>
            <w:r w:rsidRPr="00292244">
              <w:rPr>
                <w:rFonts w:ascii="Calibri" w:eastAsia="Calibri" w:hAnsi="Calibri" w:cs="Times New Roman"/>
                <w:b/>
                <w:bCs/>
                <w:lang w:eastAsia="en-US"/>
              </w:rPr>
              <w:t xml:space="preserve"> (1</w:t>
            </w:r>
            <w:r w:rsidR="000C4748">
              <w:rPr>
                <w:rFonts w:ascii="Calibri" w:eastAsia="Calibri" w:hAnsi="Calibri" w:cs="Times New Roman"/>
                <w:b/>
                <w:bCs/>
                <w:lang w:eastAsia="en-US"/>
              </w:rPr>
              <w:t>1</w:t>
            </w:r>
            <w:r w:rsidRPr="00292244">
              <w:rPr>
                <w:rFonts w:ascii="Calibri" w:eastAsia="Calibri" w:hAnsi="Calibri" w:cs="Times New Roman"/>
                <w:b/>
                <w:bCs/>
                <w:lang w:eastAsia="en-US"/>
              </w:rPr>
              <w:t>) μηνών</w:t>
            </w:r>
            <w:r w:rsidRPr="00292244">
              <w:rPr>
                <w:rFonts w:ascii="Calibri" w:eastAsia="Calibri" w:hAnsi="Calibri" w:cs="Times New Roman"/>
                <w:lang w:eastAsia="en-US"/>
              </w:rPr>
              <w:t xml:space="preserve"> ανά ιατρό (σε περίπτωση κάλυψης 272 ωρών το μήνα):    </w:t>
            </w:r>
            <w:r w:rsidR="000C4748" w:rsidRPr="000C4748">
              <w:rPr>
                <w:rFonts w:ascii="Calibri" w:eastAsia="Calibri" w:hAnsi="Calibri" w:cs="Times New Roman"/>
                <w:b/>
                <w:bCs/>
                <w:lang w:eastAsia="en-US"/>
              </w:rPr>
              <w:t>64</w:t>
            </w:r>
            <w:r w:rsidRPr="000C4748">
              <w:rPr>
                <w:rFonts w:ascii="Calibri" w:eastAsia="Calibri" w:hAnsi="Calibri" w:cs="Times New Roman"/>
                <w:b/>
                <w:bCs/>
                <w:lang w:eastAsia="en-US"/>
              </w:rPr>
              <w:t>.</w:t>
            </w:r>
            <w:r w:rsidR="000C4748" w:rsidRPr="000C4748">
              <w:rPr>
                <w:rFonts w:ascii="Calibri" w:eastAsia="Calibri" w:hAnsi="Calibri" w:cs="Times New Roman"/>
                <w:b/>
                <w:bCs/>
                <w:lang w:eastAsia="en-US"/>
              </w:rPr>
              <w:t>166</w:t>
            </w:r>
            <w:r w:rsidRPr="000C4748">
              <w:rPr>
                <w:rFonts w:ascii="Calibri" w:eastAsia="Calibri" w:hAnsi="Calibri" w:cs="Times New Roman"/>
                <w:b/>
                <w:bCs/>
                <w:lang w:eastAsia="en-US"/>
              </w:rPr>
              <w:t>,</w:t>
            </w:r>
            <w:r w:rsidR="000C4748" w:rsidRPr="000C4748">
              <w:rPr>
                <w:rFonts w:ascii="Calibri" w:eastAsia="Calibri" w:hAnsi="Calibri" w:cs="Times New Roman"/>
                <w:b/>
                <w:bCs/>
                <w:lang w:eastAsia="en-US"/>
              </w:rPr>
              <w:t>66</w:t>
            </w:r>
            <w:r w:rsidRPr="000C4748">
              <w:rPr>
                <w:rFonts w:ascii="Calibri" w:eastAsia="Calibri" w:hAnsi="Calibri" w:cs="Times New Roman"/>
                <w:b/>
                <w:bCs/>
                <w:lang w:eastAsia="en-US"/>
              </w:rPr>
              <w:t xml:space="preserve">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036F467E" w14:textId="77777777" w:rsidR="00152F13" w:rsidRDefault="00152F13"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w:t>
      </w:r>
      <w:r w:rsidRPr="00EA35E3">
        <w:rPr>
          <w:bCs/>
          <w:color w:val="000000"/>
        </w:rPr>
        <w:lastRenderedPageBreak/>
        <w:t>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4C3AEACD"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A36EAF">
        <w:rPr>
          <w:rFonts w:ascii="Tahoma" w:hAnsi="Tahoma" w:cs="Tahoma"/>
          <w:b/>
          <w:sz w:val="22"/>
          <w:szCs w:val="22"/>
          <w:lang w:val="el-GR"/>
        </w:rPr>
        <w:t>23</w:t>
      </w:r>
      <w:r w:rsidR="00273549">
        <w:rPr>
          <w:rFonts w:ascii="Tahoma" w:hAnsi="Tahoma" w:cs="Tahoma"/>
          <w:b/>
          <w:sz w:val="22"/>
          <w:szCs w:val="22"/>
          <w:lang w:val="el-GR"/>
        </w:rPr>
        <w:t>/0</w:t>
      </w:r>
      <w:r w:rsidR="00A36EAF">
        <w:rPr>
          <w:rFonts w:ascii="Tahoma" w:hAnsi="Tahoma" w:cs="Tahoma"/>
          <w:b/>
          <w:sz w:val="22"/>
          <w:szCs w:val="22"/>
          <w:lang w:val="el-GR"/>
        </w:rPr>
        <w:t>9</w:t>
      </w:r>
      <w:r w:rsidR="00273549">
        <w:rPr>
          <w:rFonts w:ascii="Tahoma" w:hAnsi="Tahoma" w:cs="Tahoma"/>
          <w:b/>
          <w:sz w:val="22"/>
          <w:szCs w:val="22"/>
          <w:lang w:val="el-GR"/>
        </w:rPr>
        <w:t>/</w:t>
      </w:r>
      <w:r w:rsidR="005F43FF" w:rsidRPr="00273549">
        <w:rPr>
          <w:rFonts w:ascii="Tahoma" w:hAnsi="Tahoma" w:cs="Tahoma"/>
          <w:b/>
          <w:sz w:val="22"/>
          <w:szCs w:val="22"/>
          <w:lang w:val="el-GR"/>
        </w:rPr>
        <w:t>20</w:t>
      </w:r>
      <w:r w:rsidR="00D16930" w:rsidRPr="00273549">
        <w:rPr>
          <w:rFonts w:ascii="Tahoma" w:hAnsi="Tahoma" w:cs="Tahoma"/>
          <w:b/>
          <w:sz w:val="22"/>
          <w:szCs w:val="22"/>
          <w:lang w:val="el-GR"/>
        </w:rPr>
        <w:t>2</w:t>
      </w:r>
      <w:r w:rsidR="002627B4" w:rsidRPr="00273549">
        <w:rPr>
          <w:rFonts w:ascii="Tahoma" w:hAnsi="Tahoma" w:cs="Tahoma"/>
          <w:b/>
          <w:sz w:val="22"/>
          <w:szCs w:val="22"/>
          <w:lang w:val="el-GR"/>
        </w:rPr>
        <w:t>5</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και</w:t>
      </w:r>
      <w:r w:rsidR="00273549">
        <w:rPr>
          <w:rFonts w:ascii="Tahoma" w:hAnsi="Tahoma" w:cs="Tahoma"/>
          <w:b/>
          <w:sz w:val="22"/>
          <w:szCs w:val="22"/>
          <w:lang w:val="el-GR"/>
        </w:rPr>
        <w:t xml:space="preserve"> </w:t>
      </w:r>
      <w:r w:rsidR="00A405C2">
        <w:rPr>
          <w:rFonts w:ascii="Tahoma" w:hAnsi="Tahoma" w:cs="Tahoma"/>
          <w:b/>
          <w:sz w:val="22"/>
          <w:szCs w:val="22"/>
          <w:lang w:val="el-GR"/>
        </w:rPr>
        <w:t>2</w:t>
      </w:r>
      <w:r w:rsidR="00A36EAF">
        <w:rPr>
          <w:rFonts w:ascii="Tahoma" w:hAnsi="Tahoma" w:cs="Tahoma"/>
          <w:b/>
          <w:sz w:val="22"/>
          <w:szCs w:val="22"/>
          <w:lang w:val="el-GR"/>
        </w:rPr>
        <w:t>9</w:t>
      </w:r>
      <w:r w:rsidR="00D16930" w:rsidRPr="00273549">
        <w:rPr>
          <w:rFonts w:ascii="Tahoma" w:hAnsi="Tahoma" w:cs="Tahoma"/>
          <w:b/>
          <w:sz w:val="22"/>
          <w:szCs w:val="22"/>
          <w:lang w:val="el-GR"/>
        </w:rPr>
        <w:t>/</w:t>
      </w:r>
      <w:r w:rsidR="00C34F56" w:rsidRPr="00273549">
        <w:rPr>
          <w:rFonts w:ascii="Tahoma" w:hAnsi="Tahoma" w:cs="Tahoma"/>
          <w:b/>
          <w:sz w:val="22"/>
          <w:szCs w:val="22"/>
          <w:lang w:val="el-GR"/>
        </w:rPr>
        <w:t>0</w:t>
      </w:r>
      <w:r w:rsidR="00A36EAF">
        <w:rPr>
          <w:rFonts w:ascii="Tahoma" w:hAnsi="Tahoma" w:cs="Tahoma"/>
          <w:b/>
          <w:sz w:val="22"/>
          <w:szCs w:val="22"/>
          <w:lang w:val="el-GR"/>
        </w:rPr>
        <w:t>9</w:t>
      </w:r>
      <w:r w:rsidR="00D16930" w:rsidRPr="00273549">
        <w:rPr>
          <w:rFonts w:ascii="Tahoma" w:hAnsi="Tahoma" w:cs="Tahoma"/>
          <w:b/>
          <w:sz w:val="22"/>
          <w:szCs w:val="22"/>
          <w:lang w:val="el-GR"/>
        </w:rPr>
        <w:t>/202</w:t>
      </w:r>
      <w:r w:rsidR="002627B4" w:rsidRPr="00273549">
        <w:rPr>
          <w:rFonts w:ascii="Tahoma" w:hAnsi="Tahoma" w:cs="Tahoma"/>
          <w:b/>
          <w:sz w:val="22"/>
          <w:szCs w:val="22"/>
          <w:lang w:val="el-GR"/>
        </w:rPr>
        <w:t>5</w:t>
      </w:r>
      <w:r w:rsidR="00C8206E" w:rsidRPr="0027354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729476BB"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273549">
        <w:rPr>
          <w:rFonts w:ascii="Tahoma" w:hAnsi="Tahoma" w:cs="Tahoma"/>
          <w:sz w:val="22"/>
          <w:szCs w:val="22"/>
          <w:lang w:val="el-GR"/>
        </w:rPr>
        <w:t>τ</w:t>
      </w:r>
      <w:r w:rsidR="005A2C54" w:rsidRPr="00273549">
        <w:rPr>
          <w:rFonts w:ascii="Tahoma" w:hAnsi="Tahoma" w:cs="Tahoma"/>
          <w:sz w:val="22"/>
          <w:szCs w:val="22"/>
          <w:lang w:val="el-GR"/>
        </w:rPr>
        <w:t>ις</w:t>
      </w:r>
      <w:r w:rsidR="00A0186C" w:rsidRPr="00273549">
        <w:rPr>
          <w:rFonts w:ascii="Tahoma" w:hAnsi="Tahoma" w:cs="Tahoma"/>
          <w:sz w:val="22"/>
          <w:szCs w:val="22"/>
          <w:lang w:val="el-GR"/>
        </w:rPr>
        <w:t xml:space="preserve"> </w:t>
      </w:r>
      <w:r w:rsidR="00A36EAF">
        <w:rPr>
          <w:rFonts w:ascii="Tahoma" w:hAnsi="Tahoma" w:cs="Tahoma"/>
          <w:sz w:val="22"/>
          <w:szCs w:val="22"/>
          <w:lang w:val="el-GR"/>
        </w:rPr>
        <w:t>01</w:t>
      </w:r>
      <w:r w:rsidR="00915C1C" w:rsidRPr="00273549">
        <w:rPr>
          <w:rFonts w:ascii="Tahoma" w:hAnsi="Tahoma" w:cs="Tahoma"/>
          <w:sz w:val="22"/>
          <w:szCs w:val="22"/>
          <w:lang w:val="el-GR"/>
        </w:rPr>
        <w:t>/</w:t>
      </w:r>
      <w:r w:rsidR="00A36EAF">
        <w:rPr>
          <w:rFonts w:ascii="Tahoma" w:hAnsi="Tahoma" w:cs="Tahoma"/>
          <w:sz w:val="22"/>
          <w:szCs w:val="22"/>
          <w:lang w:val="el-GR"/>
        </w:rPr>
        <w:t>10</w:t>
      </w:r>
      <w:r w:rsidR="005A2C54" w:rsidRPr="00273549">
        <w:rPr>
          <w:rFonts w:ascii="Tahoma" w:hAnsi="Tahoma" w:cs="Tahoma"/>
          <w:sz w:val="22"/>
          <w:szCs w:val="22"/>
          <w:lang w:val="el-GR"/>
        </w:rPr>
        <w:t>/20</w:t>
      </w:r>
      <w:r w:rsidR="00D16930" w:rsidRPr="00273549">
        <w:rPr>
          <w:rFonts w:ascii="Tahoma" w:hAnsi="Tahoma" w:cs="Tahoma"/>
          <w:sz w:val="22"/>
          <w:szCs w:val="22"/>
          <w:lang w:val="el-GR"/>
        </w:rPr>
        <w:t>2</w:t>
      </w:r>
      <w:r w:rsidR="005C7014" w:rsidRPr="00273549">
        <w:rPr>
          <w:rFonts w:ascii="Tahoma" w:hAnsi="Tahoma" w:cs="Tahoma"/>
          <w:sz w:val="22"/>
          <w:szCs w:val="22"/>
          <w:lang w:val="el-GR"/>
        </w:rPr>
        <w:t>5</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1719A6AD" w:rsidR="00A405C2" w:rsidRDefault="00A405C2">
      <w:pPr>
        <w:rPr>
          <w:sz w:val="22"/>
          <w:szCs w:val="22"/>
        </w:rPr>
      </w:pPr>
      <w:r>
        <w:rPr>
          <w:sz w:val="22"/>
          <w:szCs w:val="22"/>
        </w:rPr>
        <w:br w:type="page"/>
      </w: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6A77F5B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Θήρας καθημερινά 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1B72AAD5" w:rsidR="003B7157" w:rsidRPr="002B0E94" w:rsidRDefault="001069B0" w:rsidP="00A405C2">
            <w:pPr>
              <w:tabs>
                <w:tab w:val="left" w:pos="4253"/>
              </w:tabs>
              <w:spacing w:line="360" w:lineRule="auto"/>
              <w:rPr>
                <w:i/>
                <w:sz w:val="18"/>
                <w:szCs w:val="18"/>
              </w:rPr>
            </w:pPr>
            <w:r w:rsidRPr="002E2FA9">
              <w:rPr>
                <w:b/>
                <w:bCs/>
                <w:sz w:val="22"/>
                <w:szCs w:val="22"/>
              </w:rPr>
              <w:t>Υποβολή για τη σύναψη συνεργασίας με ιατρ</w:t>
            </w:r>
            <w:r w:rsidR="00C34F56">
              <w:rPr>
                <w:b/>
                <w:bCs/>
                <w:sz w:val="22"/>
                <w:szCs w:val="22"/>
              </w:rPr>
              <w:t>ούς</w:t>
            </w:r>
            <w:r w:rsidRPr="002E2FA9">
              <w:rPr>
                <w:b/>
                <w:bCs/>
                <w:sz w:val="22"/>
                <w:szCs w:val="22"/>
              </w:rPr>
              <w:t xml:space="preserve"> </w:t>
            </w:r>
            <w:r w:rsidR="00A36EAF">
              <w:rPr>
                <w:b/>
                <w:bCs/>
                <w:sz w:val="22"/>
                <w:szCs w:val="22"/>
              </w:rPr>
              <w:t>ειδικότητας Γενικής Ιατρικής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7AB31EA4"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00A07008" w:rsidRPr="00A07008">
              <w:rPr>
                <w:sz w:val="20"/>
                <w:szCs w:val="20"/>
              </w:rPr>
              <w:t>6586</w:t>
            </w:r>
            <w:r w:rsidRPr="00273549">
              <w:rPr>
                <w:sz w:val="20"/>
                <w:szCs w:val="20"/>
              </w:rPr>
              <w:t>/</w:t>
            </w:r>
            <w:r w:rsidR="00A07008" w:rsidRPr="00A07008">
              <w:rPr>
                <w:sz w:val="20"/>
                <w:szCs w:val="20"/>
              </w:rPr>
              <w:t>23</w:t>
            </w:r>
            <w:r w:rsidRPr="00273549">
              <w:rPr>
                <w:sz w:val="20"/>
                <w:szCs w:val="20"/>
              </w:rPr>
              <w:t>-</w:t>
            </w:r>
            <w:r w:rsidR="00A07008" w:rsidRPr="00A07008">
              <w:rPr>
                <w:sz w:val="20"/>
                <w:szCs w:val="20"/>
              </w:rPr>
              <w:t>0</w:t>
            </w:r>
            <w:r w:rsidR="00A07008">
              <w:rPr>
                <w:sz w:val="20"/>
                <w:szCs w:val="20"/>
                <w:lang w:val="en-US"/>
              </w:rPr>
              <w:t>9</w:t>
            </w:r>
            <w:r w:rsidRPr="00273549">
              <w:rPr>
                <w:sz w:val="20"/>
                <w:szCs w:val="20"/>
              </w:rPr>
              <w:t>-202</w:t>
            </w:r>
            <w:r w:rsidR="00C34F56" w:rsidRPr="00273549">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08ED42BE" w14:textId="77777777" w:rsidR="006B2901" w:rsidRDefault="006B2901" w:rsidP="006B2901">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4AF22AA2" w14:textId="6E7DC3FD" w:rsidR="00717B78" w:rsidRDefault="006B2901"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765A7000" w14:textId="26218746" w:rsidR="00717B78" w:rsidRDefault="006B2901"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Βεβαίωση 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2EF36580" w14:textId="58074D83" w:rsidR="00717B78" w:rsidRDefault="006B2901"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Βεβαίωση </w:t>
            </w:r>
            <w:r w:rsidRPr="00411A7D">
              <w:rPr>
                <w:rFonts w:ascii="Tahoma" w:eastAsia="Times New Roman" w:hAnsi="Tahoma" w:cs="Tahoma"/>
                <w:sz w:val="20"/>
                <w:szCs w:val="20"/>
              </w:rPr>
              <w:t>Ιδιότητας Μέλους Ιατρικού Συλλόγου</w:t>
            </w:r>
          </w:p>
          <w:p w14:paraId="742C8EF2" w14:textId="22BA5E9F"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E4CD" w14:textId="77777777" w:rsidR="00847135" w:rsidRDefault="00847135">
      <w:r>
        <w:separator/>
      </w:r>
    </w:p>
  </w:endnote>
  <w:endnote w:type="continuationSeparator" w:id="0">
    <w:p w14:paraId="5DAEE502" w14:textId="77777777" w:rsidR="00847135" w:rsidRDefault="0084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9B1F" w14:textId="77777777" w:rsidR="00847135" w:rsidRDefault="00847135">
      <w:r>
        <w:separator/>
      </w:r>
    </w:p>
  </w:footnote>
  <w:footnote w:type="continuationSeparator" w:id="0">
    <w:p w14:paraId="7D02D5A6" w14:textId="77777777" w:rsidR="00847135" w:rsidRDefault="00847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0" w:type="dxa"/>
      <w:tblInd w:w="-459" w:type="dxa"/>
      <w:tblLayout w:type="fixed"/>
      <w:tblLook w:val="04A0" w:firstRow="1" w:lastRow="0" w:firstColumn="1" w:lastColumn="0" w:noHBand="0" w:noVBand="1"/>
    </w:tblPr>
    <w:tblGrid>
      <w:gridCol w:w="2552"/>
      <w:gridCol w:w="4942"/>
      <w:gridCol w:w="2196"/>
    </w:tblGrid>
    <w:tr w:rsidR="00246E45" w:rsidRPr="00246E45" w14:paraId="67BFF898" w14:textId="77777777" w:rsidTr="0083577A">
      <w:trPr>
        <w:trHeight w:val="1660"/>
      </w:trPr>
      <w:tc>
        <w:tcPr>
          <w:tcW w:w="2552" w:type="dxa"/>
        </w:tcPr>
        <w:p w14:paraId="3C6E6E51" w14:textId="1E5A8A0D" w:rsidR="00246E45" w:rsidRPr="00246E45" w:rsidRDefault="00246E45" w:rsidP="00246E45">
          <w:pPr>
            <w:tabs>
              <w:tab w:val="center" w:pos="4320"/>
              <w:tab w:val="right" w:pos="8640"/>
            </w:tabs>
            <w:rPr>
              <w:rFonts w:ascii="Times New Roman" w:eastAsia="Calibri" w:hAnsi="Times New Roman" w:cs="Times New Roman"/>
              <w:b/>
              <w:sz w:val="22"/>
              <w:szCs w:val="22"/>
              <w:lang w:val="en-US" w:eastAsia="en-US"/>
            </w:rPr>
          </w:pPr>
          <w:r w:rsidRPr="00246E45">
            <w:rPr>
              <w:rFonts w:ascii="Calibri" w:eastAsia="Calibri" w:hAnsi="Calibri" w:cs="Times New Roman"/>
              <w:noProof/>
              <w:sz w:val="22"/>
              <w:szCs w:val="22"/>
              <w:lang w:val="en-US" w:eastAsia="en-US"/>
            </w:rPr>
            <w:drawing>
              <wp:anchor distT="0" distB="0" distL="114300" distR="114300" simplePos="0" relativeHeight="251662336" behindDoc="0" locked="0" layoutInCell="1" allowOverlap="1" wp14:anchorId="22A663B2" wp14:editId="6F189D61">
                <wp:simplePos x="0" y="0"/>
                <wp:positionH relativeFrom="column">
                  <wp:posOffset>-70485</wp:posOffset>
                </wp:positionH>
                <wp:positionV relativeFrom="paragraph">
                  <wp:posOffset>-1905</wp:posOffset>
                </wp:positionV>
                <wp:extent cx="1483360" cy="1101090"/>
                <wp:effectExtent l="0" t="0" r="2540" b="3810"/>
                <wp:wrapSquare wrapText="bothSides"/>
                <wp:docPr id="191628404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101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42" w:type="dxa"/>
        </w:tcPr>
        <w:p w14:paraId="738AE22E" w14:textId="0E721578" w:rsidR="00246E45" w:rsidRPr="00246E45" w:rsidRDefault="00246E45" w:rsidP="00246E45">
          <w:pPr>
            <w:rPr>
              <w:rFonts w:ascii="Times New Roman" w:hAnsi="Times New Roman" w:cs="Times New Roman"/>
              <w:i/>
            </w:rPr>
          </w:pPr>
        </w:p>
        <w:p w14:paraId="3213E6DD" w14:textId="77777777" w:rsidR="00246E45" w:rsidRPr="00246E45" w:rsidRDefault="00246E45" w:rsidP="00246E45">
          <w:pPr>
            <w:rPr>
              <w:rFonts w:ascii="Times New Roman" w:hAnsi="Times New Roman" w:cs="Times New Roman"/>
            </w:rPr>
          </w:pPr>
        </w:p>
        <w:p w14:paraId="408C7258" w14:textId="77777777" w:rsidR="00246E45" w:rsidRPr="00246E45" w:rsidRDefault="00246E45" w:rsidP="00246E45">
          <w:pPr>
            <w:rPr>
              <w:rFonts w:ascii="Times New Roman" w:hAnsi="Times New Roman" w:cs="Times New Roman"/>
            </w:rPr>
          </w:pPr>
        </w:p>
        <w:p w14:paraId="670B6D70" w14:textId="77777777" w:rsidR="00246E45" w:rsidRPr="00246E45" w:rsidRDefault="00246E45" w:rsidP="00246E45">
          <w:pPr>
            <w:rPr>
              <w:rFonts w:ascii="Times New Roman" w:hAnsi="Times New Roman" w:cs="Times New Roman"/>
            </w:rPr>
          </w:pPr>
          <w:r w:rsidRPr="00246E45">
            <w:rPr>
              <w:rFonts w:ascii="Times New Roman" w:hAnsi="Times New Roman" w:cs="Times New Roman"/>
              <w:i/>
            </w:rPr>
            <w:t xml:space="preserve"> </w:t>
          </w:r>
          <w:proofErr w:type="spellStart"/>
          <w:r w:rsidRPr="00246E45">
            <w:rPr>
              <w:rFonts w:ascii="Times New Roman" w:hAnsi="Times New Roman" w:cs="Times New Roman"/>
            </w:rPr>
            <w:t>Καρτεράδος</w:t>
          </w:r>
          <w:proofErr w:type="spellEnd"/>
          <w:r w:rsidRPr="00246E45">
            <w:rPr>
              <w:rFonts w:ascii="Times New Roman" w:hAnsi="Times New Roman" w:cs="Times New Roman"/>
            </w:rPr>
            <w:t xml:space="preserve"> Τ.Κ 84700 Θήρα                                                            </w:t>
          </w:r>
        </w:p>
        <w:p w14:paraId="3C7248DD" w14:textId="77777777" w:rsidR="00246E45" w:rsidRPr="00246E45" w:rsidRDefault="00246E45" w:rsidP="00246E45">
          <w:pPr>
            <w:rPr>
              <w:rFonts w:ascii="Times New Roman" w:hAnsi="Times New Roman" w:cs="Times New Roman"/>
            </w:rPr>
          </w:pPr>
          <w:r w:rsidRPr="00246E45">
            <w:rPr>
              <w:rFonts w:ascii="Times New Roman" w:hAnsi="Times New Roman" w:cs="Times New Roman"/>
            </w:rPr>
            <w:t xml:space="preserve"> </w:t>
          </w:r>
          <w:proofErr w:type="spellStart"/>
          <w:r w:rsidRPr="00246E45">
            <w:rPr>
              <w:rFonts w:ascii="Times New Roman" w:hAnsi="Times New Roman" w:cs="Times New Roman"/>
            </w:rPr>
            <w:t>Τηλ</w:t>
          </w:r>
          <w:proofErr w:type="spellEnd"/>
          <w:r w:rsidRPr="00246E45">
            <w:rPr>
              <w:rFonts w:ascii="Times New Roman" w:hAnsi="Times New Roman" w:cs="Times New Roman"/>
            </w:rPr>
            <w:t xml:space="preserve">: 2286035300  </w:t>
          </w:r>
        </w:p>
        <w:p w14:paraId="5B269568" w14:textId="77777777" w:rsidR="00246E45" w:rsidRPr="00246E45" w:rsidRDefault="00246E45" w:rsidP="00246E45">
          <w:pPr>
            <w:rPr>
              <w:rFonts w:ascii="Times New Roman" w:hAnsi="Times New Roman" w:cs="Times New Roman"/>
              <w:lang w:val="en-US"/>
            </w:rPr>
          </w:pPr>
          <w:r w:rsidRPr="00A07008">
            <w:rPr>
              <w:rFonts w:ascii="Times New Roman" w:hAnsi="Times New Roman" w:cs="Times New Roman"/>
            </w:rPr>
            <w:t xml:space="preserve"> </w:t>
          </w:r>
          <w:r w:rsidRPr="00246E45">
            <w:rPr>
              <w:rFonts w:ascii="Times New Roman" w:hAnsi="Times New Roman" w:cs="Times New Roman"/>
              <w:lang w:val="en-US"/>
            </w:rPr>
            <w:t>email: info@santorini-hospital.gr</w:t>
          </w:r>
        </w:p>
      </w:tc>
      <w:tc>
        <w:tcPr>
          <w:tcW w:w="2196" w:type="dxa"/>
        </w:tcPr>
        <w:p w14:paraId="723EA154" w14:textId="3C2A6792" w:rsidR="00246E45" w:rsidRPr="00246E45" w:rsidRDefault="00246E45" w:rsidP="00246E45">
          <w:pPr>
            <w:tabs>
              <w:tab w:val="center" w:pos="4320"/>
              <w:tab w:val="right" w:pos="8640"/>
            </w:tabs>
            <w:jc w:val="center"/>
            <w:rPr>
              <w:rFonts w:ascii="Calibri" w:eastAsia="Calibri" w:hAnsi="Calibri" w:cs="Times New Roman"/>
              <w:sz w:val="22"/>
              <w:szCs w:val="22"/>
              <w:lang w:val="en-US" w:eastAsia="en-US"/>
            </w:rPr>
          </w:pPr>
          <w:r w:rsidRPr="00246E45">
            <w:rPr>
              <w:rFonts w:ascii="Calibri" w:eastAsia="Calibri" w:hAnsi="Calibri" w:cs="Times New Roman"/>
              <w:noProof/>
              <w:sz w:val="22"/>
              <w:szCs w:val="22"/>
            </w:rPr>
            <w:drawing>
              <wp:inline distT="0" distB="0" distL="0" distR="0" wp14:anchorId="644B6BAB" wp14:editId="779F7A79">
                <wp:extent cx="1256030" cy="699770"/>
                <wp:effectExtent l="0" t="0" r="1270" b="5080"/>
                <wp:docPr id="89179402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tc>
    </w:tr>
  </w:tbl>
  <w:p w14:paraId="4DD805E7" w14:textId="126ED949" w:rsidR="002D3A09" w:rsidRDefault="002D3A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597"/>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33DA"/>
    <w:rsid w:val="000949F5"/>
    <w:rsid w:val="00095DF9"/>
    <w:rsid w:val="000978FD"/>
    <w:rsid w:val="000A081E"/>
    <w:rsid w:val="000A24C4"/>
    <w:rsid w:val="000A3CAB"/>
    <w:rsid w:val="000A7B1B"/>
    <w:rsid w:val="000B0883"/>
    <w:rsid w:val="000B0D4E"/>
    <w:rsid w:val="000B0E68"/>
    <w:rsid w:val="000B44DF"/>
    <w:rsid w:val="000B5DBA"/>
    <w:rsid w:val="000B7CC8"/>
    <w:rsid w:val="000C1363"/>
    <w:rsid w:val="000C3C60"/>
    <w:rsid w:val="000C3EB6"/>
    <w:rsid w:val="000C4748"/>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407E"/>
    <w:rsid w:val="000F65E5"/>
    <w:rsid w:val="00100C4D"/>
    <w:rsid w:val="0010147C"/>
    <w:rsid w:val="001025E3"/>
    <w:rsid w:val="00106829"/>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2F13"/>
    <w:rsid w:val="001564A5"/>
    <w:rsid w:val="00157A7F"/>
    <w:rsid w:val="001609C6"/>
    <w:rsid w:val="00165C7A"/>
    <w:rsid w:val="00166ECD"/>
    <w:rsid w:val="001709F5"/>
    <w:rsid w:val="00171087"/>
    <w:rsid w:val="001774B1"/>
    <w:rsid w:val="0018084C"/>
    <w:rsid w:val="00180AE6"/>
    <w:rsid w:val="00180B5D"/>
    <w:rsid w:val="00182B7F"/>
    <w:rsid w:val="001843A3"/>
    <w:rsid w:val="00192E23"/>
    <w:rsid w:val="001961E4"/>
    <w:rsid w:val="001A1F8E"/>
    <w:rsid w:val="001A411F"/>
    <w:rsid w:val="001B012C"/>
    <w:rsid w:val="001B20E6"/>
    <w:rsid w:val="001B5845"/>
    <w:rsid w:val="001B5F97"/>
    <w:rsid w:val="001C16A1"/>
    <w:rsid w:val="001C1C08"/>
    <w:rsid w:val="001C1F6D"/>
    <w:rsid w:val="001C6E01"/>
    <w:rsid w:val="001D0170"/>
    <w:rsid w:val="001D0EFA"/>
    <w:rsid w:val="001D2EC6"/>
    <w:rsid w:val="001D6FF3"/>
    <w:rsid w:val="001E2D40"/>
    <w:rsid w:val="001E37DA"/>
    <w:rsid w:val="001E4686"/>
    <w:rsid w:val="001E4B39"/>
    <w:rsid w:val="001E4F3D"/>
    <w:rsid w:val="001F0CA5"/>
    <w:rsid w:val="001F384F"/>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3CEC"/>
    <w:rsid w:val="00245557"/>
    <w:rsid w:val="00246534"/>
    <w:rsid w:val="00246E45"/>
    <w:rsid w:val="00247285"/>
    <w:rsid w:val="00250C69"/>
    <w:rsid w:val="00251002"/>
    <w:rsid w:val="00255F54"/>
    <w:rsid w:val="002578BD"/>
    <w:rsid w:val="0026116B"/>
    <w:rsid w:val="002627B4"/>
    <w:rsid w:val="00263B01"/>
    <w:rsid w:val="00263F91"/>
    <w:rsid w:val="00267D6D"/>
    <w:rsid w:val="00270889"/>
    <w:rsid w:val="0027257A"/>
    <w:rsid w:val="00273549"/>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11E"/>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23F2"/>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7CAB"/>
    <w:rsid w:val="00445211"/>
    <w:rsid w:val="00453614"/>
    <w:rsid w:val="00457D4D"/>
    <w:rsid w:val="004624AA"/>
    <w:rsid w:val="00466391"/>
    <w:rsid w:val="00466D38"/>
    <w:rsid w:val="004709AA"/>
    <w:rsid w:val="00470CFE"/>
    <w:rsid w:val="004735BA"/>
    <w:rsid w:val="00473A62"/>
    <w:rsid w:val="0047544C"/>
    <w:rsid w:val="004777EF"/>
    <w:rsid w:val="00483054"/>
    <w:rsid w:val="00487057"/>
    <w:rsid w:val="004A089D"/>
    <w:rsid w:val="004A5A7B"/>
    <w:rsid w:val="004B150B"/>
    <w:rsid w:val="004B4A24"/>
    <w:rsid w:val="004B672A"/>
    <w:rsid w:val="004B73C9"/>
    <w:rsid w:val="004C0830"/>
    <w:rsid w:val="004C53D0"/>
    <w:rsid w:val="004C71DE"/>
    <w:rsid w:val="004D417A"/>
    <w:rsid w:val="004D6D41"/>
    <w:rsid w:val="004D7C5D"/>
    <w:rsid w:val="004E1A91"/>
    <w:rsid w:val="004E36BB"/>
    <w:rsid w:val="004E5246"/>
    <w:rsid w:val="004F05EE"/>
    <w:rsid w:val="004F2863"/>
    <w:rsid w:val="00515889"/>
    <w:rsid w:val="00515A59"/>
    <w:rsid w:val="00516E75"/>
    <w:rsid w:val="0052550B"/>
    <w:rsid w:val="0053063B"/>
    <w:rsid w:val="0053212D"/>
    <w:rsid w:val="005339DA"/>
    <w:rsid w:val="0053439D"/>
    <w:rsid w:val="00535690"/>
    <w:rsid w:val="00537F79"/>
    <w:rsid w:val="00543E44"/>
    <w:rsid w:val="0054564C"/>
    <w:rsid w:val="00547D8B"/>
    <w:rsid w:val="00547DD2"/>
    <w:rsid w:val="0055164E"/>
    <w:rsid w:val="00551EDF"/>
    <w:rsid w:val="00553430"/>
    <w:rsid w:val="00554F9E"/>
    <w:rsid w:val="00562E90"/>
    <w:rsid w:val="0056559F"/>
    <w:rsid w:val="005662F1"/>
    <w:rsid w:val="00566C48"/>
    <w:rsid w:val="00567D53"/>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17F9"/>
    <w:rsid w:val="005A2C54"/>
    <w:rsid w:val="005A75C4"/>
    <w:rsid w:val="005B3D9A"/>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282A"/>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17C9"/>
    <w:rsid w:val="006A2F6C"/>
    <w:rsid w:val="006A3A5E"/>
    <w:rsid w:val="006A3FF5"/>
    <w:rsid w:val="006B069D"/>
    <w:rsid w:val="006B1FCC"/>
    <w:rsid w:val="006B2901"/>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6884"/>
    <w:rsid w:val="00787982"/>
    <w:rsid w:val="007946E9"/>
    <w:rsid w:val="007954F2"/>
    <w:rsid w:val="0079673F"/>
    <w:rsid w:val="007A24A4"/>
    <w:rsid w:val="007A3165"/>
    <w:rsid w:val="007A4BB1"/>
    <w:rsid w:val="007A5F76"/>
    <w:rsid w:val="007B0709"/>
    <w:rsid w:val="007B2930"/>
    <w:rsid w:val="007B2F7D"/>
    <w:rsid w:val="007B3BE4"/>
    <w:rsid w:val="007B53D3"/>
    <w:rsid w:val="007B5F3D"/>
    <w:rsid w:val="007B6DC6"/>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27091"/>
    <w:rsid w:val="008331C7"/>
    <w:rsid w:val="00833FE6"/>
    <w:rsid w:val="00834966"/>
    <w:rsid w:val="008354E3"/>
    <w:rsid w:val="00835FAE"/>
    <w:rsid w:val="0083755A"/>
    <w:rsid w:val="008419FD"/>
    <w:rsid w:val="00841AA3"/>
    <w:rsid w:val="008433E0"/>
    <w:rsid w:val="00847135"/>
    <w:rsid w:val="00847FCB"/>
    <w:rsid w:val="0085215D"/>
    <w:rsid w:val="0085255A"/>
    <w:rsid w:val="008542FF"/>
    <w:rsid w:val="00854E7B"/>
    <w:rsid w:val="008562EE"/>
    <w:rsid w:val="008604E2"/>
    <w:rsid w:val="00861C5D"/>
    <w:rsid w:val="00863D44"/>
    <w:rsid w:val="008640EB"/>
    <w:rsid w:val="00864992"/>
    <w:rsid w:val="008659DD"/>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1BF0"/>
    <w:rsid w:val="00982A17"/>
    <w:rsid w:val="009846DD"/>
    <w:rsid w:val="00991DB0"/>
    <w:rsid w:val="009933E0"/>
    <w:rsid w:val="00997524"/>
    <w:rsid w:val="009A5998"/>
    <w:rsid w:val="009A7EC7"/>
    <w:rsid w:val="009B66F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07008"/>
    <w:rsid w:val="00A20527"/>
    <w:rsid w:val="00A236C3"/>
    <w:rsid w:val="00A26A1F"/>
    <w:rsid w:val="00A275F6"/>
    <w:rsid w:val="00A3095F"/>
    <w:rsid w:val="00A354C4"/>
    <w:rsid w:val="00A36EAF"/>
    <w:rsid w:val="00A405C2"/>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1629"/>
    <w:rsid w:val="00B550CF"/>
    <w:rsid w:val="00B57ADA"/>
    <w:rsid w:val="00B6666A"/>
    <w:rsid w:val="00B727CF"/>
    <w:rsid w:val="00B73C31"/>
    <w:rsid w:val="00B7403D"/>
    <w:rsid w:val="00B7446F"/>
    <w:rsid w:val="00B74C2A"/>
    <w:rsid w:val="00B81356"/>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351"/>
    <w:rsid w:val="00C04E1F"/>
    <w:rsid w:val="00C06E39"/>
    <w:rsid w:val="00C07F5E"/>
    <w:rsid w:val="00C10A89"/>
    <w:rsid w:val="00C10D46"/>
    <w:rsid w:val="00C110EC"/>
    <w:rsid w:val="00C11EEF"/>
    <w:rsid w:val="00C17059"/>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1EDF"/>
    <w:rsid w:val="00CC4252"/>
    <w:rsid w:val="00CC6B6D"/>
    <w:rsid w:val="00CC7A1F"/>
    <w:rsid w:val="00CD1922"/>
    <w:rsid w:val="00CD785E"/>
    <w:rsid w:val="00CE4C31"/>
    <w:rsid w:val="00CE4E22"/>
    <w:rsid w:val="00CE62AF"/>
    <w:rsid w:val="00CE6561"/>
    <w:rsid w:val="00CF016E"/>
    <w:rsid w:val="00CF20C1"/>
    <w:rsid w:val="00CF5819"/>
    <w:rsid w:val="00CF5C57"/>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0310"/>
    <w:rsid w:val="00D51D1F"/>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5F17"/>
    <w:rsid w:val="00DB6D50"/>
    <w:rsid w:val="00DB73AF"/>
    <w:rsid w:val="00DC0B16"/>
    <w:rsid w:val="00DC127B"/>
    <w:rsid w:val="00DC1742"/>
    <w:rsid w:val="00DC1C61"/>
    <w:rsid w:val="00DC209B"/>
    <w:rsid w:val="00DC4DDA"/>
    <w:rsid w:val="00DC6F7E"/>
    <w:rsid w:val="00DD409D"/>
    <w:rsid w:val="00DD44D8"/>
    <w:rsid w:val="00DD4586"/>
    <w:rsid w:val="00DD5407"/>
    <w:rsid w:val="00DD6BE3"/>
    <w:rsid w:val="00DD6D5D"/>
    <w:rsid w:val="00DD79C2"/>
    <w:rsid w:val="00DE1D40"/>
    <w:rsid w:val="00DE3C69"/>
    <w:rsid w:val="00DE5AA6"/>
    <w:rsid w:val="00DF7606"/>
    <w:rsid w:val="00E0438F"/>
    <w:rsid w:val="00E12CBB"/>
    <w:rsid w:val="00E13181"/>
    <w:rsid w:val="00E13EA0"/>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7E8"/>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A7B39"/>
    <w:rsid w:val="00FB1400"/>
    <w:rsid w:val="00FB22C6"/>
    <w:rsid w:val="00FC14B2"/>
    <w:rsid w:val="00FC1B08"/>
    <w:rsid w:val="00FC7A65"/>
    <w:rsid w:val="00FE066B"/>
    <w:rsid w:val="00FE15BB"/>
    <w:rsid w:val="00FE6243"/>
    <w:rsid w:val="00FE68E8"/>
    <w:rsid w:val="00FE74C9"/>
    <w:rsid w:val="00FF1248"/>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semiHidden/>
    <w:unhideWhenUsed/>
    <w:rsid w:val="00246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2493</Words>
  <Characters>13467</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15929</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Server</cp:lastModifiedBy>
  <cp:revision>2</cp:revision>
  <cp:lastPrinted>2025-09-23T10:16:00Z</cp:lastPrinted>
  <dcterms:created xsi:type="dcterms:W3CDTF">2025-09-24T07:50:00Z</dcterms:created>
  <dcterms:modified xsi:type="dcterms:W3CDTF">2025-09-24T07:50:00Z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